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13319A" w:rsidRDefault="0013319A" w:rsidP="008D3FC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(далее- Компания) </w:t>
      </w:r>
      <w:r w:rsidRPr="00F06A16">
        <w:rPr>
          <w:rFonts w:ascii="Times New Roman" w:hAnsi="Times New Roman" w:cs="Times New Roman"/>
          <w:sz w:val="24"/>
          <w:szCs w:val="24"/>
        </w:rPr>
        <w:t xml:space="preserve">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 xml:space="preserve">открытом одноэтапном </w:t>
      </w:r>
      <w:r w:rsidRPr="0081342B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Pr="0013319A">
        <w:rPr>
          <w:rFonts w:ascii="Times New Roman" w:hAnsi="Times New Roman" w:cs="Times New Roman"/>
          <w:b/>
          <w:sz w:val="24"/>
          <w:szCs w:val="24"/>
        </w:rPr>
        <w:t>606</w:t>
      </w:r>
      <w:r w:rsidR="008D3FC9" w:rsidRPr="008D3FC9">
        <w:rPr>
          <w:rFonts w:ascii="Times New Roman" w:hAnsi="Times New Roman" w:cs="Times New Roman"/>
          <w:b/>
          <w:sz w:val="24"/>
          <w:szCs w:val="24"/>
        </w:rPr>
        <w:t>4</w:t>
      </w:r>
      <w:r w:rsidRPr="0013319A">
        <w:rPr>
          <w:rFonts w:ascii="Times New Roman" w:hAnsi="Times New Roman" w:cs="Times New Roman"/>
          <w:b/>
          <w:sz w:val="24"/>
          <w:szCs w:val="24"/>
        </w:rPr>
        <w:t>-</w:t>
      </w:r>
      <w:r w:rsidRPr="0013319A">
        <w:rPr>
          <w:rFonts w:ascii="Times New Roman" w:hAnsi="Times New Roman" w:cs="Times New Roman"/>
          <w:b/>
          <w:sz w:val="24"/>
          <w:szCs w:val="24"/>
          <w:lang w:val="en-US"/>
        </w:rPr>
        <w:t>PD</w:t>
      </w:r>
      <w:r w:rsidRPr="0081342B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AA7076">
        <w:rPr>
          <w:rFonts w:ascii="Times New Roman" w:hAnsi="Times New Roman" w:cs="Times New Roman"/>
          <w:sz w:val="24"/>
          <w:szCs w:val="24"/>
        </w:rPr>
        <w:t xml:space="preserve"> заключения рамочного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подряда</w:t>
      </w:r>
      <w:r w:rsidRPr="00AA707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проведение к</w:t>
      </w:r>
      <w:r w:rsidRPr="00F546A2">
        <w:rPr>
          <w:rFonts w:ascii="Times New Roman" w:hAnsi="Times New Roman" w:cs="Times New Roman"/>
          <w:sz w:val="24"/>
          <w:szCs w:val="24"/>
        </w:rPr>
        <w:t>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6A2">
        <w:rPr>
          <w:rFonts w:ascii="Times New Roman" w:hAnsi="Times New Roman" w:cs="Times New Roman"/>
          <w:sz w:val="24"/>
          <w:szCs w:val="24"/>
        </w:rPr>
        <w:t xml:space="preserve"> работ и услуг по оформлению прав на объекты нефтепроводной системы КТК (объекты недвижимости) и земельные участки, по кадастровым, геодезическим работам, оценке движимого и недвижимого имущества, разработке и согласованию проектов рекультивации земель на территории </w:t>
      </w:r>
      <w:r w:rsidR="008D3FC9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19A" w:rsidRDefault="0013319A" w:rsidP="008D3FC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lastRenderedPageBreak/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8D3FC9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Астраханская область</w:t>
      </w:r>
      <w:r w:rsidR="00B42034" w:rsidRPr="000C30B2">
        <w:rPr>
          <w:rFonts w:ascii="Times New Roman" w:hAnsi="Times New Roman" w:cs="Times New Roman"/>
          <w:sz w:val="24"/>
          <w:szCs w:val="24"/>
        </w:rPr>
        <w:t>,</w:t>
      </w:r>
      <w:r w:rsidR="0013319A">
        <w:rPr>
          <w:rFonts w:ascii="Times New Roman" w:hAnsi="Times New Roman" w:cs="Times New Roman"/>
          <w:sz w:val="24"/>
          <w:szCs w:val="24"/>
        </w:rPr>
        <w:t xml:space="preserve"> объекты трубопроводной системы КТК «Тенгиз-Новороссийск» на территории региона</w:t>
      </w:r>
      <w:r>
        <w:rPr>
          <w:rFonts w:ascii="Times New Roman" w:hAnsi="Times New Roman" w:cs="Times New Roman"/>
          <w:sz w:val="24"/>
          <w:szCs w:val="24"/>
        </w:rPr>
        <w:t xml:space="preserve"> (Красноярский, Енотаевский,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Наримановский,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районы)</w:t>
      </w:r>
      <w:r w:rsidR="0013319A"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13319A" w:rsidRDefault="007C188F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выполняются по выдаваемым Компанией Наряд-заказам к рамочному договору подряда. Договор подряда включает в себя к</w:t>
      </w:r>
      <w:r w:rsidR="0013319A" w:rsidRPr="001010DB">
        <w:rPr>
          <w:rFonts w:ascii="Times New Roman" w:hAnsi="Times New Roman" w:cs="Times New Roman"/>
          <w:sz w:val="24"/>
          <w:szCs w:val="24"/>
        </w:rPr>
        <w:t xml:space="preserve">омплекс работ и услуг по оформлению прав на объекты нефтепроводной системы КТК (объекты недвижимости) и земельные участки, по кадастровым, геодезическим работам, оценке движимого и недвижимого имущества, разработке и согласованию проектов рекультивации земель на территории </w:t>
      </w:r>
      <w:r w:rsidR="008D3FC9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, включая, но не ограничиваясь: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1.</w:t>
      </w:r>
      <w:r w:rsidRPr="0013319A">
        <w:rPr>
          <w:rFonts w:ascii="Times New Roman" w:hAnsi="Times New Roman" w:cs="Times New Roman"/>
          <w:sz w:val="24"/>
          <w:szCs w:val="24"/>
        </w:rPr>
        <w:tab/>
        <w:t>Кадастровые работы: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составление информационной схемы расположения земельного участка относительно смежных участков с использованием сведений Единого государственного реестра недвижимости и картографического материала;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составление, согласование, утверждение Схемы расположения земельного участка на кадастровом плане территории;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подготовка межевого плана в связи с образованием земельного участка / части земельного участка, разделом земельного участка, уточнением границ земельного участка. Техническое сопровождение внесения сведений о земельном участке / части земельного участка в Единый государственный реестр недвижимости;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вынос в натуру (координирование по факту) границ земельного участка.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2. Внесение изменений в правоустанавливающие и </w:t>
      </w:r>
      <w:proofErr w:type="spellStart"/>
      <w:r w:rsidRPr="0013319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3319A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участок.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3. Топографо-геодезическая съемка;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4. Подготовка в электронной форме текстового и графического описания местоположения границ зон с особыми условиями использования территории, перечень координат характерных точек границ таких зон (карт (планов)).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5. Разработка и утверждение проектов рекультивации нарушенных земель;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6. Разработка и утверждение проектов планировки (межевания) территории; 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7. Оформление документов на земельные участки: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сопровождение процессов оформления документов на земельные участки и объекты недвижимости в государственных и муниципальных органах, а также с правообладателями земельных участков;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консультирование, организация и проведение общего собрания, подготовка необходимых документов, сопровождение внесения изменений в сведения Единого государственного реестра недвижимости;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подготовка расчета убытков сельскохозяйственного производства, включая упущенную выгоду;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- подготовка, заключение, государственная регистрация договоров, соглашений, иных документов, предоставляющих Компании право пользования землей; 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- участие в судебном заседании в качестве специалиста (кадастрового инженера). 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8. Оценка движимого и недвижимого имущества, включая оценку рыночной стоимости земельных участков, платы за пользование земельными участками.</w:t>
      </w:r>
    </w:p>
    <w:p w:rsid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9. Разработка технического плана объекта строительства для ввода объекта в эксплуатацию и регистрации права собственности.</w:t>
      </w:r>
    </w:p>
    <w:p w:rsidR="0013319A" w:rsidRDefault="0013319A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45" w:rsidRPr="00CD68A8" w:rsidRDefault="00001E45" w:rsidP="00001E4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E16B13" w:rsidRPr="00CD68A8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16B13" w:rsidRPr="00E16B13" w:rsidRDefault="007C188F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</w:t>
      </w:r>
      <w:r w:rsidR="00EB56BE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414710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endnote>
  <w:end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0B9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0B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footnote>
  <w:foot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35DBF"/>
    <w:multiLevelType w:val="hybridMultilevel"/>
    <w:tmpl w:val="6F86D800"/>
    <w:lvl w:ilvl="0" w:tplc="0038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34"/>
  </w:num>
  <w:num w:numId="4">
    <w:abstractNumId w:val="20"/>
  </w:num>
  <w:num w:numId="5">
    <w:abstractNumId w:val="48"/>
  </w:num>
  <w:num w:numId="6">
    <w:abstractNumId w:val="32"/>
  </w:num>
  <w:num w:numId="7">
    <w:abstractNumId w:val="28"/>
  </w:num>
  <w:num w:numId="8">
    <w:abstractNumId w:val="30"/>
  </w:num>
  <w:num w:numId="9">
    <w:abstractNumId w:val="24"/>
  </w:num>
  <w:num w:numId="10">
    <w:abstractNumId w:val="35"/>
  </w:num>
  <w:num w:numId="11">
    <w:abstractNumId w:val="25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33"/>
  </w:num>
  <w:num w:numId="17">
    <w:abstractNumId w:val="4"/>
  </w:num>
  <w:num w:numId="18">
    <w:abstractNumId w:val="8"/>
  </w:num>
  <w:num w:numId="19">
    <w:abstractNumId w:val="22"/>
  </w:num>
  <w:num w:numId="20">
    <w:abstractNumId w:val="16"/>
  </w:num>
  <w:num w:numId="21">
    <w:abstractNumId w:val="27"/>
  </w:num>
  <w:num w:numId="22">
    <w:abstractNumId w:val="23"/>
  </w:num>
  <w:num w:numId="23">
    <w:abstractNumId w:val="39"/>
  </w:num>
  <w:num w:numId="24">
    <w:abstractNumId w:val="40"/>
  </w:num>
  <w:num w:numId="25">
    <w:abstractNumId w:val="10"/>
  </w:num>
  <w:num w:numId="26">
    <w:abstractNumId w:val="13"/>
  </w:num>
  <w:num w:numId="27">
    <w:abstractNumId w:val="44"/>
  </w:num>
  <w:num w:numId="28">
    <w:abstractNumId w:val="7"/>
  </w:num>
  <w:num w:numId="29">
    <w:abstractNumId w:val="21"/>
  </w:num>
  <w:num w:numId="30">
    <w:abstractNumId w:val="49"/>
  </w:num>
  <w:num w:numId="31">
    <w:abstractNumId w:val="12"/>
  </w:num>
  <w:num w:numId="32">
    <w:abstractNumId w:val="31"/>
  </w:num>
  <w:num w:numId="33">
    <w:abstractNumId w:val="29"/>
  </w:num>
  <w:num w:numId="34">
    <w:abstractNumId w:val="41"/>
  </w:num>
  <w:num w:numId="35">
    <w:abstractNumId w:val="19"/>
  </w:num>
  <w:num w:numId="36">
    <w:abstractNumId w:val="46"/>
  </w:num>
  <w:num w:numId="37">
    <w:abstractNumId w:val="3"/>
  </w:num>
  <w:num w:numId="38">
    <w:abstractNumId w:val="1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7"/>
  </w:num>
  <w:num w:numId="43">
    <w:abstractNumId w:val="26"/>
  </w:num>
  <w:num w:numId="44">
    <w:abstractNumId w:val="36"/>
  </w:num>
  <w:num w:numId="45">
    <w:abstractNumId w:val="42"/>
  </w:num>
  <w:num w:numId="46">
    <w:abstractNumId w:val="43"/>
  </w:num>
  <w:num w:numId="47">
    <w:abstractNumId w:val="38"/>
  </w:num>
  <w:num w:numId="48">
    <w:abstractNumId w:val="2"/>
  </w:num>
  <w:num w:numId="49">
    <w:abstractNumId w:val="47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1E45"/>
    <w:rsid w:val="00004888"/>
    <w:rsid w:val="00004E7E"/>
    <w:rsid w:val="000057AC"/>
    <w:rsid w:val="000057E6"/>
    <w:rsid w:val="00007F8E"/>
    <w:rsid w:val="0001176C"/>
    <w:rsid w:val="00013721"/>
    <w:rsid w:val="00013859"/>
    <w:rsid w:val="00016540"/>
    <w:rsid w:val="000214E8"/>
    <w:rsid w:val="00022B9E"/>
    <w:rsid w:val="00023D04"/>
    <w:rsid w:val="000240C6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0B2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19A"/>
    <w:rsid w:val="001338BA"/>
    <w:rsid w:val="00133BA4"/>
    <w:rsid w:val="0014208F"/>
    <w:rsid w:val="00142E84"/>
    <w:rsid w:val="0014492E"/>
    <w:rsid w:val="00147A1E"/>
    <w:rsid w:val="001545BC"/>
    <w:rsid w:val="001555E0"/>
    <w:rsid w:val="001569F3"/>
    <w:rsid w:val="00157955"/>
    <w:rsid w:val="00157B99"/>
    <w:rsid w:val="001612F4"/>
    <w:rsid w:val="0016351A"/>
    <w:rsid w:val="001635A2"/>
    <w:rsid w:val="00163802"/>
    <w:rsid w:val="00164091"/>
    <w:rsid w:val="0016549B"/>
    <w:rsid w:val="00166A0F"/>
    <w:rsid w:val="00170356"/>
    <w:rsid w:val="00172E94"/>
    <w:rsid w:val="00174E48"/>
    <w:rsid w:val="00176D4F"/>
    <w:rsid w:val="00177607"/>
    <w:rsid w:val="00180946"/>
    <w:rsid w:val="00181881"/>
    <w:rsid w:val="00181D2A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0B95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14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10A9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4710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13E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3494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2C98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878B0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188F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6F6D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6D35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3FC9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2A28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2A1B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03DD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2C87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9AA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5D4C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8A8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3061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56BE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0D01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FDFF7C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7878B0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A7F3D9-FB2F-42E2-888E-33AB6621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Khar0609</cp:lastModifiedBy>
  <cp:revision>5</cp:revision>
  <cp:lastPrinted>2017-11-24T11:20:00Z</cp:lastPrinted>
  <dcterms:created xsi:type="dcterms:W3CDTF">2023-12-21T08:39:00Z</dcterms:created>
  <dcterms:modified xsi:type="dcterms:W3CDTF">2023-12-22T10:52:00Z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